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5A6457" w:rsidR="008D1FA3" w:rsidP="000B0CF4" w:rsidRDefault="005A6457" w14:paraId="672A6659" wp14:textId="77777777">
      <w:pPr>
        <w:spacing w:before="120" w:after="120" w:line="240" w:lineRule="auto"/>
        <w:jc w:val="center"/>
        <w:rPr>
          <w:rFonts w:ascii="Arial" w:hAnsi="Arial" w:eastAsia="MS Mincho" w:cs="Arial"/>
          <w:i/>
          <w:sz w:val="20"/>
          <w:szCs w:val="20"/>
          <w:lang w:val="en-US" w:eastAsia="ja-JP"/>
        </w:rPr>
      </w:pPr>
      <w:r w:rsidRPr="005A6457">
        <w:rPr>
          <w:rFonts w:ascii="Arial" w:hAnsi="Arial" w:eastAsia="MS Mincho" w:cs="Arial"/>
          <w:i/>
          <w:noProof/>
          <w:sz w:val="20"/>
          <w:szCs w:val="20"/>
          <w:lang w:eastAsia="ru-RU"/>
        </w:rPr>
        <w:drawing>
          <wp:inline xmlns:wp14="http://schemas.microsoft.com/office/word/2010/wordprocessingDrawing" distT="0" distB="0" distL="0" distR="0" wp14:anchorId="3C2B2298" wp14:editId="5DDAF85C">
            <wp:extent cx="2922684" cy="108013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709118" name="Petrovax-logo-Eng-P3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206" cy="108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5A6457" w:rsidR="00F331D1" w:rsidP="00C12177" w:rsidRDefault="00F331D1" w14:paraId="0A37501D" wp14:textId="77777777">
      <w:pPr>
        <w:spacing w:after="0" w:line="240" w:lineRule="auto"/>
        <w:ind w:firstLine="567"/>
        <w:jc w:val="center"/>
        <w:rPr>
          <w:rFonts w:ascii="Times New Roman" w:hAnsi="Times New Roman" w:eastAsia="Times New Roman"/>
          <w:b/>
          <w:sz w:val="28"/>
          <w:szCs w:val="28"/>
          <w:lang w:val="en-US" w:eastAsia="ru-RU"/>
        </w:rPr>
      </w:pPr>
    </w:p>
    <w:p xmlns:wp14="http://schemas.microsoft.com/office/word/2010/wordml" w:rsidRPr="005A6457" w:rsidR="00EA59A6" w:rsidP="00EA59A6" w:rsidRDefault="004242E4" w14:paraId="07AF9042" wp14:textId="777777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Petrovax </w:t>
      </w:r>
      <w:r w:rsidRPr="00EA59A6" w:rsidR="00EA59A6">
        <w:rPr>
          <w:rFonts w:ascii="Times New Roman" w:hAnsi="Times New Roman"/>
          <w:color w:val="000000"/>
          <w:sz w:val="28"/>
          <w:szCs w:val="28"/>
          <w:lang w:val="en-US"/>
        </w:rPr>
        <w:t>is a Russian full-c</w:t>
      </w:r>
      <w:r w:rsidR="0093382D">
        <w:rPr>
          <w:rFonts w:ascii="Times New Roman" w:hAnsi="Times New Roman"/>
          <w:color w:val="000000"/>
          <w:sz w:val="28"/>
          <w:szCs w:val="28"/>
          <w:lang w:val="en-US"/>
        </w:rPr>
        <w:t xml:space="preserve">ycle biopharmaceutical company </w:t>
      </w:r>
      <w:r w:rsidRPr="00EA59A6" w:rsidR="00EA59A6">
        <w:rPr>
          <w:rFonts w:ascii="Times New Roman" w:hAnsi="Times New Roman"/>
          <w:color w:val="000000"/>
          <w:sz w:val="28"/>
          <w:szCs w:val="28"/>
          <w:lang w:val="en-US"/>
        </w:rPr>
        <w:t>with 25 years of successful experience</w:t>
      </w:r>
      <w:r w:rsidRPr="005A6457" w:rsidR="005A6457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EA59A6" w:rsidR="00EA59A6">
        <w:rPr>
          <w:rFonts w:ascii="Times New Roman" w:hAnsi="Times New Roman"/>
          <w:color w:val="000000"/>
          <w:sz w:val="28"/>
          <w:szCs w:val="28"/>
          <w:lang w:val="en-US"/>
        </w:rPr>
        <w:t xml:space="preserve">The company is among the Top 5 </w:t>
      </w:r>
      <w:proofErr w:type="spellStart"/>
      <w:r w:rsidRPr="00EA59A6" w:rsidR="00EA59A6">
        <w:rPr>
          <w:rFonts w:ascii="Times New Roman" w:hAnsi="Times New Roman"/>
          <w:color w:val="000000"/>
          <w:sz w:val="28"/>
          <w:szCs w:val="28"/>
          <w:lang w:val="en-US"/>
        </w:rPr>
        <w:t>immunobiological</w:t>
      </w:r>
      <w:proofErr w:type="spellEnd"/>
      <w:r w:rsidRPr="00EA59A6" w:rsidR="00EA59A6">
        <w:rPr>
          <w:rFonts w:ascii="Times New Roman" w:hAnsi="Times New Roman"/>
          <w:color w:val="000000"/>
          <w:sz w:val="28"/>
          <w:szCs w:val="28"/>
          <w:lang w:val="en-US"/>
        </w:rPr>
        <w:t xml:space="preserve"> pharmaceutical manufacturers in Russia. </w:t>
      </w:r>
    </w:p>
    <w:p xmlns:wp14="http://schemas.microsoft.com/office/word/2010/wordml" w:rsidRPr="005A6457" w:rsidR="000928C7" w:rsidP="000928C7" w:rsidRDefault="005A6457" w14:paraId="3B0488C4" wp14:textId="777777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5A6457">
        <w:rPr>
          <w:rFonts w:ascii="Times New Roman" w:hAnsi="Times New Roman"/>
          <w:color w:val="000000"/>
          <w:sz w:val="28"/>
          <w:szCs w:val="28"/>
          <w:lang w:val="en-US"/>
        </w:rPr>
        <w:t xml:space="preserve">The product </w:t>
      </w:r>
      <w:r w:rsidR="00EA59A6">
        <w:rPr>
          <w:rFonts w:ascii="Times New Roman" w:hAnsi="Times New Roman"/>
          <w:color w:val="000000"/>
          <w:sz w:val="28"/>
          <w:szCs w:val="28"/>
          <w:lang w:val="en-US"/>
        </w:rPr>
        <w:t>po</w:t>
      </w:r>
      <w:r w:rsidRPr="00EA59A6" w:rsidR="00EA59A6">
        <w:rPr>
          <w:rFonts w:ascii="Times New Roman" w:hAnsi="Times New Roman"/>
          <w:color w:val="000000"/>
          <w:sz w:val="28"/>
          <w:szCs w:val="28"/>
          <w:lang w:val="en-US"/>
        </w:rPr>
        <w:t>rtfolio</w:t>
      </w:r>
      <w:r w:rsidRPr="005A6457">
        <w:rPr>
          <w:rFonts w:ascii="Times New Roman" w:hAnsi="Times New Roman"/>
          <w:color w:val="000000"/>
          <w:sz w:val="28"/>
          <w:szCs w:val="28"/>
          <w:lang w:val="en-US"/>
        </w:rPr>
        <w:t xml:space="preserve"> includes </w:t>
      </w:r>
      <w:r w:rsidRPr="00EA59A6" w:rsidR="00EA59A6">
        <w:rPr>
          <w:rFonts w:ascii="Times New Roman" w:hAnsi="Times New Roman"/>
          <w:color w:val="000000"/>
          <w:sz w:val="28"/>
          <w:szCs w:val="28"/>
          <w:lang w:val="en-US"/>
        </w:rPr>
        <w:t>its</w:t>
      </w:r>
      <w:r w:rsidRPr="005A6457">
        <w:rPr>
          <w:rFonts w:ascii="Times New Roman" w:hAnsi="Times New Roman"/>
          <w:color w:val="000000"/>
          <w:sz w:val="28"/>
          <w:szCs w:val="28"/>
          <w:lang w:val="en-US"/>
        </w:rPr>
        <w:t xml:space="preserve"> own original </w:t>
      </w:r>
      <w:r w:rsidRPr="00EA59A6" w:rsidR="00EA59A6">
        <w:rPr>
          <w:rFonts w:ascii="Times New Roman" w:hAnsi="Times New Roman"/>
          <w:color w:val="000000"/>
          <w:sz w:val="28"/>
          <w:szCs w:val="28"/>
          <w:lang w:val="en-US"/>
        </w:rPr>
        <w:t>pharmaceutical products</w:t>
      </w:r>
      <w:r w:rsidRPr="00510250" w:rsidR="00EA59A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EA59A6" w:rsidR="00EA59A6">
        <w:rPr>
          <w:rFonts w:ascii="Times New Roman" w:hAnsi="Times New Roman"/>
          <w:color w:val="000000"/>
          <w:sz w:val="28"/>
          <w:szCs w:val="28"/>
          <w:lang w:val="en-US"/>
        </w:rPr>
        <w:t>and vaccines</w:t>
      </w:r>
      <w:r w:rsidRPr="005A6457">
        <w:rPr>
          <w:rFonts w:ascii="Times New Roman" w:hAnsi="Times New Roman"/>
          <w:color w:val="000000"/>
          <w:sz w:val="28"/>
          <w:szCs w:val="28"/>
          <w:lang w:val="en-US"/>
        </w:rPr>
        <w:t xml:space="preserve">, localized medicinal products, as well as generics and dietary supplements. </w:t>
      </w:r>
    </w:p>
    <w:p xmlns:wp14="http://schemas.microsoft.com/office/word/2010/wordml" w:rsidRPr="005A6457" w:rsidR="00EA59A6" w:rsidP="00EA59A6" w:rsidRDefault="005A6457" w14:paraId="1C189C07" wp14:textId="77777777">
      <w:pPr>
        <w:spacing w:after="0" w:line="255" w:lineRule="atLeast"/>
        <w:ind w:firstLine="709"/>
        <w:jc w:val="both"/>
        <w:rPr>
          <w:rFonts w:ascii="Times New Roman" w:hAnsi="Times New Roman" w:eastAsia="Times New Roman"/>
          <w:sz w:val="28"/>
          <w:szCs w:val="28"/>
          <w:lang w:val="en-US" w:eastAsia="ru-RU"/>
        </w:rPr>
      </w:pPr>
      <w:r w:rsidRPr="005A6457"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The company has its own research center and investment program for the R&amp;D field, </w:t>
      </w:r>
      <w:r w:rsidRPr="00EA59A6" w:rsidR="00EA59A6">
        <w:rPr>
          <w:rFonts w:ascii="Times New Roman" w:hAnsi="Times New Roman"/>
          <w:color w:val="000000"/>
          <w:sz w:val="28"/>
          <w:szCs w:val="28"/>
          <w:lang w:val="en-US"/>
        </w:rPr>
        <w:t>Petrovax holds more than 20 new molecule and manufacturing process patents.</w:t>
      </w:r>
    </w:p>
    <w:p xmlns:wp14="http://schemas.microsoft.com/office/word/2010/wordml" w:rsidR="0070453E" w:rsidP="0070453E" w:rsidRDefault="00510250" w14:paraId="482934B1" wp14:textId="77777777">
      <w:pPr>
        <w:spacing w:after="0" w:line="240" w:lineRule="auto"/>
        <w:ind w:firstLine="709"/>
        <w:jc w:val="both"/>
        <w:rPr>
          <w:lang w:val="en-US"/>
        </w:rPr>
      </w:pPr>
      <w:r w:rsidRPr="00510250">
        <w:rPr>
          <w:rFonts w:ascii="Times New Roman" w:hAnsi="Times New Roman" w:eastAsia="Times New Roman"/>
          <w:sz w:val="28"/>
          <w:szCs w:val="28"/>
          <w:lang w:val="en-US" w:eastAsia="ru-RU"/>
        </w:rPr>
        <w:t>The company’s manufacturing processes fully comply with the applicable Russian and internatio</w:t>
      </w:r>
      <w:r w:rsidR="0070453E">
        <w:rPr>
          <w:rFonts w:ascii="Times New Roman" w:hAnsi="Times New Roman" w:eastAsia="Times New Roman"/>
          <w:sz w:val="28"/>
          <w:szCs w:val="28"/>
          <w:lang w:val="en-US" w:eastAsia="ru-RU"/>
        </w:rPr>
        <w:t>nal GMP standards and ISO:9001</w:t>
      </w:r>
      <w:r w:rsidRPr="0070453E" w:rsidR="0070453E">
        <w:rPr>
          <w:rFonts w:eastAsia="Times New Roman" w:asciiTheme="minorHAnsi" w:hAnsiTheme="minorHAnsi" w:cstheme="minorHAnsi"/>
          <w:sz w:val="28"/>
          <w:szCs w:val="28"/>
          <w:lang w:val="en-US" w:eastAsia="ru-RU"/>
        </w:rPr>
        <w:t xml:space="preserve">. </w:t>
      </w:r>
      <w:r w:rsidRPr="0070453E"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Petrovax’s pharmaceutical manufacturing complex located in Moscow Region is one of the most high-tech biopharmaceutical </w:t>
      </w:r>
      <w:r w:rsidRPr="0070453E" w:rsidR="0070453E">
        <w:rPr>
          <w:rFonts w:ascii="Times New Roman" w:hAnsi="Times New Roman" w:eastAsia="Times New Roman"/>
          <w:sz w:val="28"/>
          <w:szCs w:val="28"/>
          <w:lang w:val="en-US" w:eastAsia="ru-RU"/>
        </w:rPr>
        <w:t>enterprises</w:t>
      </w:r>
      <w:r w:rsidRPr="0070453E"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 in Russia.</w:t>
      </w:r>
      <w:r w:rsidRPr="0070453E" w:rsidR="003625A0">
        <w:rPr>
          <w:lang w:val="en-US"/>
        </w:rPr>
        <w:t xml:space="preserve"> </w:t>
      </w:r>
    </w:p>
    <w:p xmlns:wp14="http://schemas.microsoft.com/office/word/2010/wordml" w:rsidR="004242E4" w:rsidP="0070453E" w:rsidRDefault="003625A0" w14:paraId="013602D9" wp14:textId="77777777"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val="en-US" w:eastAsia="ru-RU"/>
        </w:rPr>
      </w:pPr>
      <w:r w:rsidRPr="0070453E"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Petrovax capacity is more than 160 million dosages of </w:t>
      </w:r>
      <w:proofErr w:type="spellStart"/>
      <w:r w:rsidRPr="0070453E">
        <w:rPr>
          <w:rFonts w:ascii="Times New Roman" w:hAnsi="Times New Roman" w:eastAsia="Times New Roman"/>
          <w:sz w:val="28"/>
          <w:szCs w:val="28"/>
          <w:lang w:val="en-US" w:eastAsia="ru-RU"/>
        </w:rPr>
        <w:t>immunobiologicals</w:t>
      </w:r>
      <w:proofErr w:type="spellEnd"/>
      <w:r w:rsidRPr="0070453E"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 per year.</w:t>
      </w:r>
      <w:r w:rsidRPr="0070453E" w:rsidR="00510250"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 </w:t>
      </w:r>
      <w:r w:rsidRPr="0070453E" w:rsidR="004242E4"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Petrovax is the first Russian manufacturer of </w:t>
      </w:r>
      <w:proofErr w:type="spellStart"/>
      <w:r w:rsidRPr="0070453E" w:rsidR="004242E4">
        <w:rPr>
          <w:rFonts w:ascii="Times New Roman" w:hAnsi="Times New Roman" w:eastAsia="Times New Roman"/>
          <w:sz w:val="28"/>
          <w:szCs w:val="28"/>
          <w:lang w:val="en-US" w:eastAsia="ru-RU"/>
        </w:rPr>
        <w:t>immunobiological</w:t>
      </w:r>
      <w:proofErr w:type="spellEnd"/>
      <w:r w:rsidRPr="0070453E" w:rsidR="004242E4"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 products to pass international GMP certification from the state regulatory authorities of the EU (Slovakia) and Iran.</w:t>
      </w:r>
      <w:r w:rsidRPr="0070453E" w:rsidR="0070453E">
        <w:rPr>
          <w:lang w:val="en-US"/>
        </w:rPr>
        <w:t xml:space="preserve"> </w:t>
      </w:r>
    </w:p>
    <w:p xmlns:wp14="http://schemas.microsoft.com/office/word/2010/wordml" w:rsidRPr="005A6457" w:rsidR="00A01DD6" w:rsidP="00B464C7" w:rsidRDefault="005A6457" w14:paraId="1C53A844" wp14:textId="777777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5A6457">
        <w:rPr>
          <w:rFonts w:ascii="Times New Roman" w:hAnsi="Times New Roman"/>
          <w:color w:val="000000"/>
          <w:sz w:val="28"/>
          <w:szCs w:val="28"/>
          <w:lang w:val="en-US"/>
        </w:rPr>
        <w:t xml:space="preserve">The company possesses expertise in implementing international projects for technology transfer for </w:t>
      </w:r>
      <w:r w:rsidR="00B464C7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B464C7" w:rsidR="00B464C7">
        <w:rPr>
          <w:rFonts w:ascii="Times New Roman" w:hAnsi="Times New Roman"/>
          <w:color w:val="000000"/>
          <w:sz w:val="28"/>
          <w:szCs w:val="28"/>
          <w:lang w:val="en-US"/>
        </w:rPr>
        <w:t>ull-cycle</w:t>
      </w:r>
      <w:r w:rsidRPr="005A6457">
        <w:rPr>
          <w:rFonts w:ascii="Times New Roman" w:hAnsi="Times New Roman"/>
          <w:color w:val="000000"/>
          <w:sz w:val="28"/>
          <w:szCs w:val="28"/>
          <w:lang w:val="en-US"/>
        </w:rPr>
        <w:t xml:space="preserve"> manufacture, quality control and assurance for immunobiological drugs. Petrovax's partners are the world's leading pharmaceutical companies Pfizer, Abbott, </w:t>
      </w:r>
      <w:proofErr w:type="spellStart"/>
      <w:r w:rsidRPr="005A6457">
        <w:rPr>
          <w:rFonts w:ascii="Times New Roman" w:hAnsi="Times New Roman"/>
          <w:color w:val="000000"/>
          <w:sz w:val="28"/>
          <w:szCs w:val="28"/>
          <w:lang w:val="en-US"/>
        </w:rPr>
        <w:t>Bo</w:t>
      </w:r>
      <w:bookmarkStart w:name="_GoBack" w:id="0"/>
      <w:bookmarkEnd w:id="0"/>
      <w:r w:rsidRPr="005A6457">
        <w:rPr>
          <w:rFonts w:ascii="Times New Roman" w:hAnsi="Times New Roman"/>
          <w:color w:val="000000"/>
          <w:sz w:val="28"/>
          <w:szCs w:val="28"/>
          <w:lang w:val="en-US"/>
        </w:rPr>
        <w:t>ehringer</w:t>
      </w:r>
      <w:proofErr w:type="spellEnd"/>
      <w:r w:rsidRPr="005A645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A6457">
        <w:rPr>
          <w:rFonts w:ascii="Times New Roman" w:hAnsi="Times New Roman"/>
          <w:color w:val="000000"/>
          <w:sz w:val="28"/>
          <w:szCs w:val="28"/>
          <w:lang w:val="en-US"/>
        </w:rPr>
        <w:t>Ingelheim</w:t>
      </w:r>
      <w:proofErr w:type="spellEnd"/>
      <w:r w:rsidRPr="005A6457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</w:p>
    <w:p xmlns:wp14="http://schemas.microsoft.com/office/word/2010/wordml" w:rsidRPr="005A6457" w:rsidR="0020467E" w:rsidP="0020467E" w:rsidRDefault="005A6457" w14:paraId="3B9A2AD2" wp14:textId="777777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5A6457">
        <w:rPr>
          <w:rFonts w:ascii="Times New Roman" w:hAnsi="Times New Roman"/>
          <w:color w:val="000000"/>
          <w:sz w:val="28"/>
          <w:szCs w:val="28"/>
          <w:lang w:val="en-US"/>
        </w:rPr>
        <w:t xml:space="preserve">In 2020, Petrovax entered into an agreement with </w:t>
      </w:r>
      <w:proofErr w:type="spellStart"/>
      <w:r w:rsidRPr="005A6457">
        <w:rPr>
          <w:rFonts w:ascii="Times New Roman" w:hAnsi="Times New Roman"/>
          <w:color w:val="000000"/>
          <w:sz w:val="28"/>
          <w:szCs w:val="28"/>
          <w:lang w:val="en-US"/>
        </w:rPr>
        <w:t>CanSino</w:t>
      </w:r>
      <w:proofErr w:type="spellEnd"/>
      <w:r w:rsidRPr="005A6457">
        <w:rPr>
          <w:rFonts w:ascii="Times New Roman" w:hAnsi="Times New Roman"/>
          <w:color w:val="000000"/>
          <w:sz w:val="28"/>
          <w:szCs w:val="28"/>
          <w:lang w:val="en-US"/>
        </w:rPr>
        <w:t xml:space="preserve"> Biologics Inc., the leader of the immunobiological industry in China, for development and further production in Russia of the </w:t>
      </w:r>
      <w:proofErr w:type="gramStart"/>
      <w:r w:rsidRPr="005A6457">
        <w:rPr>
          <w:rFonts w:ascii="Times New Roman" w:hAnsi="Times New Roman"/>
          <w:color w:val="000000"/>
          <w:sz w:val="28"/>
          <w:szCs w:val="28"/>
          <w:lang w:val="en-US"/>
        </w:rPr>
        <w:t>recombinant adenoviral vector vaccine</w:t>
      </w:r>
      <w:proofErr w:type="gramEnd"/>
      <w:r w:rsidRPr="005A645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A6457">
        <w:rPr>
          <w:rFonts w:ascii="Times New Roman" w:hAnsi="Times New Roman"/>
          <w:color w:val="000000"/>
          <w:sz w:val="28"/>
          <w:szCs w:val="28"/>
          <w:lang w:val="en-US"/>
        </w:rPr>
        <w:t>Convidecia</w:t>
      </w:r>
      <w:proofErr w:type="spellEnd"/>
      <w:r w:rsidRPr="005A6457">
        <w:rPr>
          <w:rFonts w:ascii="Times New Roman" w:hAnsi="Times New Roman"/>
          <w:color w:val="000000"/>
          <w:sz w:val="28"/>
          <w:szCs w:val="28"/>
          <w:lang w:val="en-US"/>
        </w:rPr>
        <w:t xml:space="preserve"> to prevent COVID-19 infection. In 2021, after the registration of the vaccine in the Russian Federation, Petrovax plans on manufacturing the drug at its facilities in the Moscow Region.</w:t>
      </w:r>
    </w:p>
    <w:p xmlns:wp14="http://schemas.microsoft.com/office/word/2010/wordml" w:rsidRPr="005A6457" w:rsidR="000928C7" w:rsidP="000928C7" w:rsidRDefault="005A6457" w14:paraId="269BC4A0" wp14:textId="777777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5A6457">
        <w:rPr>
          <w:rFonts w:ascii="Times New Roman" w:hAnsi="Times New Roman"/>
          <w:color w:val="000000"/>
          <w:sz w:val="28"/>
          <w:szCs w:val="28"/>
          <w:lang w:val="en-US"/>
        </w:rPr>
        <w:t>Petrovax is the largest Russian exporter of pharmaceuticals, inclu</w:t>
      </w:r>
      <w:r w:rsidR="00B464C7">
        <w:rPr>
          <w:rFonts w:ascii="Times New Roman" w:hAnsi="Times New Roman"/>
          <w:color w:val="000000"/>
          <w:sz w:val="28"/>
          <w:szCs w:val="28"/>
          <w:lang w:val="en-US"/>
        </w:rPr>
        <w:t>ding original Russian medicines</w:t>
      </w:r>
      <w:r w:rsidRPr="005A6457">
        <w:rPr>
          <w:rFonts w:ascii="Times New Roman" w:hAnsi="Times New Roman"/>
          <w:color w:val="000000"/>
          <w:sz w:val="28"/>
          <w:szCs w:val="28"/>
          <w:lang w:val="en-US"/>
        </w:rPr>
        <w:t xml:space="preserve"> to the EU. It ranks among the TOP-3 Russian pharmaceutical exporters of vaccines. The company's pharmaceutical drugs are exported to 12 countries, including the EAEU, the Middle East and the EU. </w:t>
      </w:r>
    </w:p>
    <w:p xmlns:wp14="http://schemas.microsoft.com/office/word/2010/wordml" w:rsidRPr="005A6457" w:rsidR="000928C7" w:rsidP="008500E3" w:rsidRDefault="000928C7" w14:paraId="5DAB6C7B" wp14:textId="777777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xmlns:wp14="http://schemas.microsoft.com/office/word/2010/wordml" w:rsidRPr="005A6457" w:rsidR="007B1BB6" w:rsidP="000B0CF4" w:rsidRDefault="005A6457" w14:paraId="2CF4A5B8" wp14:textId="55C7F38C">
      <w:pPr>
        <w:spacing w:after="0" w:line="255" w:lineRule="atLeast"/>
        <w:ind w:firstLine="709"/>
        <w:jc w:val="both"/>
        <w:rPr>
          <w:rFonts w:ascii="Times New Roman" w:hAnsi="Times New Roman" w:eastAsia="Times New Roman"/>
          <w:sz w:val="28"/>
          <w:szCs w:val="28"/>
          <w:lang w:val="en-US" w:eastAsia="ru-RU"/>
        </w:rPr>
      </w:pPr>
      <w:r w:rsidRPr="1D4B383E" w:rsidR="1D4B383E">
        <w:rPr>
          <w:rFonts w:ascii="Times New Roman" w:hAnsi="Times New Roman" w:eastAsia="Times New Roman"/>
          <w:sz w:val="28"/>
          <w:szCs w:val="28"/>
          <w:lang w:val="en-US" w:eastAsia="ru-RU"/>
        </w:rPr>
        <w:t>Petrovax has over 8</w:t>
      </w:r>
      <w:r w:rsidRPr="1D4B383E" w:rsidR="1D4B383E">
        <w:rPr>
          <w:rFonts w:ascii="Times New Roman" w:hAnsi="Times New Roman" w:eastAsia="Times New Roman"/>
          <w:sz w:val="28"/>
          <w:szCs w:val="28"/>
          <w:lang w:val="en-US" w:eastAsia="ru-RU"/>
        </w:rPr>
        <w:t>00</w:t>
      </w:r>
      <w:r w:rsidRPr="1D4B383E" w:rsidR="1D4B383E"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 employees. </w:t>
      </w:r>
    </w:p>
    <w:p xmlns:wp14="http://schemas.microsoft.com/office/word/2010/wordml" w:rsidRPr="005A6457" w:rsidR="004E74F8" w:rsidP="000B0CF4" w:rsidRDefault="004E74F8" w14:paraId="02EB378F" wp14:textId="77777777">
      <w:pPr>
        <w:spacing w:after="0" w:line="255" w:lineRule="atLeast"/>
        <w:ind w:firstLine="709"/>
        <w:jc w:val="both"/>
        <w:rPr>
          <w:rFonts w:ascii="Times New Roman" w:hAnsi="Times New Roman" w:eastAsia="Times New Roman"/>
          <w:sz w:val="28"/>
          <w:szCs w:val="28"/>
          <w:lang w:val="en-US" w:eastAsia="ru-RU"/>
        </w:rPr>
      </w:pPr>
    </w:p>
    <w:p xmlns:wp14="http://schemas.microsoft.com/office/word/2010/wordml" w:rsidRPr="005A6457" w:rsidR="00A628D9" w:rsidP="000B0CF4" w:rsidRDefault="005A6457" w14:paraId="78255A93" wp14:textId="77777777">
      <w:pPr>
        <w:spacing w:after="0" w:line="255" w:lineRule="atLeast"/>
        <w:ind w:firstLine="709"/>
        <w:jc w:val="both"/>
        <w:rPr>
          <w:rFonts w:ascii="Times New Roman" w:hAnsi="Times New Roman" w:eastAsia="Times New Roman"/>
          <w:sz w:val="28"/>
          <w:szCs w:val="28"/>
          <w:lang w:val="en-US" w:eastAsia="ru-RU"/>
        </w:rPr>
      </w:pPr>
      <w:r w:rsidRPr="005A6457">
        <w:rPr>
          <w:rFonts w:ascii="Times New Roman" w:hAnsi="Times New Roman"/>
          <w:color w:val="000000"/>
          <w:sz w:val="28"/>
          <w:szCs w:val="28"/>
          <w:lang w:val="en-US"/>
        </w:rPr>
        <w:t xml:space="preserve">The company has been affiliated into the </w:t>
      </w:r>
      <w:proofErr w:type="spellStart"/>
      <w:r w:rsidRPr="005A6457">
        <w:rPr>
          <w:rFonts w:ascii="Times New Roman" w:hAnsi="Times New Roman" w:eastAsia="Times New Roman"/>
          <w:sz w:val="28"/>
          <w:szCs w:val="28"/>
          <w:lang w:val="en-US" w:eastAsia="ru-RU"/>
        </w:rPr>
        <w:t>Interros</w:t>
      </w:r>
      <w:proofErr w:type="spellEnd"/>
      <w:r w:rsidRPr="005A6457"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 Group</w:t>
      </w:r>
      <w:r w:rsidRPr="005A6457">
        <w:rPr>
          <w:rFonts w:ascii="Times New Roman" w:hAnsi="Times New Roman"/>
          <w:color w:val="000000"/>
          <w:sz w:val="28"/>
          <w:szCs w:val="28"/>
          <w:lang w:val="en-US"/>
        </w:rPr>
        <w:t xml:space="preserve"> since 2014.</w:t>
      </w:r>
    </w:p>
    <w:p xmlns:wp14="http://schemas.microsoft.com/office/word/2010/wordml" w:rsidRPr="005A6457" w:rsidR="00661651" w:rsidP="000B0CF4" w:rsidRDefault="00661651" w14:paraId="6A05A809" wp14:textId="77777777">
      <w:pPr>
        <w:spacing w:after="0" w:line="255" w:lineRule="atLeast"/>
        <w:ind w:firstLine="709"/>
        <w:jc w:val="both"/>
        <w:rPr>
          <w:rFonts w:ascii="Times New Roman" w:hAnsi="Times New Roman" w:eastAsia="Times New Roman"/>
          <w:sz w:val="28"/>
          <w:szCs w:val="28"/>
          <w:lang w:val="en-US" w:eastAsia="ru-RU"/>
        </w:rPr>
      </w:pPr>
    </w:p>
    <w:p xmlns:wp14="http://schemas.microsoft.com/office/word/2010/wordml" w:rsidRPr="00510250" w:rsidR="00EA59A6" w:rsidP="00EA59A6" w:rsidRDefault="005A6457" w14:paraId="256CEB12" wp14:textId="77777777">
      <w:pPr>
        <w:spacing w:after="0" w:line="255" w:lineRule="atLeast"/>
        <w:ind w:left="708" w:firstLine="1"/>
        <w:jc w:val="both"/>
        <w:rPr>
          <w:rFonts w:ascii="Times New Roman" w:hAnsi="Times New Roman" w:eastAsia="Times New Roman"/>
          <w:sz w:val="28"/>
          <w:szCs w:val="28"/>
          <w:lang w:val="en-US" w:eastAsia="ru-RU"/>
        </w:rPr>
      </w:pPr>
      <w:r w:rsidRPr="005A6457">
        <w:rPr>
          <w:rFonts w:ascii="Times New Roman" w:hAnsi="Times New Roman" w:eastAsia="Times New Roman"/>
          <w:sz w:val="28"/>
          <w:szCs w:val="28"/>
          <w:lang w:val="en-US" w:eastAsia="ru-RU"/>
        </w:rPr>
        <w:t>Our mission</w:t>
      </w:r>
      <w:r w:rsidRPr="00510250" w:rsidR="00510250">
        <w:rPr>
          <w:rFonts w:ascii="Times New Roman" w:hAnsi="Times New Roman" w:eastAsia="Times New Roman"/>
          <w:sz w:val="28"/>
          <w:szCs w:val="28"/>
          <w:lang w:val="en-US" w:eastAsia="ru-RU"/>
        </w:rPr>
        <w:t>:</w:t>
      </w:r>
      <w:r w:rsidRPr="005A6457"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 </w:t>
      </w:r>
      <w:r w:rsidR="00510250">
        <w:rPr>
          <w:rFonts w:ascii="Times New Roman" w:hAnsi="Times New Roman" w:eastAsia="Times New Roman"/>
          <w:sz w:val="28"/>
          <w:szCs w:val="28"/>
          <w:lang w:val="en-US" w:eastAsia="ru-RU"/>
        </w:rPr>
        <w:t>Innovative products</w:t>
      </w:r>
      <w:r w:rsidR="00EA59A6"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 for treatment, </w:t>
      </w:r>
      <w:r w:rsidRPr="00EA59A6" w:rsidR="00EA59A6">
        <w:rPr>
          <w:rFonts w:ascii="Times New Roman" w:hAnsi="Times New Roman" w:eastAsia="Times New Roman"/>
          <w:sz w:val="28"/>
          <w:szCs w:val="28"/>
          <w:lang w:val="en-US" w:eastAsia="ru-RU"/>
        </w:rPr>
        <w:t>prevention and better quality of life</w:t>
      </w:r>
      <w:r w:rsidR="00EA59A6">
        <w:rPr>
          <w:rFonts w:ascii="Times New Roman" w:hAnsi="Times New Roman" w:eastAsia="Times New Roman"/>
          <w:sz w:val="28"/>
          <w:szCs w:val="28"/>
          <w:lang w:val="en-US" w:eastAsia="ru-RU"/>
        </w:rPr>
        <w:t>.</w:t>
      </w:r>
    </w:p>
    <w:p xmlns:wp14="http://schemas.microsoft.com/office/word/2010/wordml" w:rsidRPr="00EA59A6" w:rsidR="00224809" w:rsidP="00C12177" w:rsidRDefault="00224809" w14:paraId="5A39BBE3" wp14:textId="77777777">
      <w:pPr>
        <w:spacing w:after="0" w:line="255" w:lineRule="atLeast"/>
        <w:ind w:firstLine="709"/>
        <w:jc w:val="both"/>
        <w:rPr>
          <w:rFonts w:ascii="Times New Roman" w:hAnsi="Times New Roman" w:eastAsia="Times New Roman"/>
          <w:sz w:val="28"/>
          <w:szCs w:val="28"/>
          <w:lang w:val="en-US" w:eastAsia="ru-RU"/>
        </w:rPr>
      </w:pPr>
    </w:p>
    <w:p xmlns:wp14="http://schemas.microsoft.com/office/word/2010/wordml" w:rsidRPr="005A6457" w:rsidR="00C12177" w:rsidP="00C12177" w:rsidRDefault="005A6457" w14:paraId="1CC4F66F" wp14:textId="77777777">
      <w:pPr>
        <w:spacing w:after="0" w:line="255" w:lineRule="atLeast"/>
        <w:ind w:firstLine="709"/>
        <w:jc w:val="both"/>
        <w:rPr>
          <w:rFonts w:ascii="Times New Roman" w:hAnsi="Times New Roman" w:eastAsia="Times New Roman"/>
          <w:sz w:val="28"/>
          <w:szCs w:val="28"/>
          <w:lang w:val="en-US" w:eastAsia="ru-RU"/>
        </w:rPr>
      </w:pPr>
      <w:r w:rsidRPr="005A6457"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Contact Us: </w:t>
      </w:r>
    </w:p>
    <w:p xmlns:wp14="http://schemas.microsoft.com/office/word/2010/wordml" w:rsidRPr="005A6457" w:rsidR="00C12177" w:rsidP="00C12177" w:rsidRDefault="005A6457" w14:paraId="06078329" wp14:textId="77777777">
      <w:pPr>
        <w:spacing w:after="0" w:line="255" w:lineRule="atLeast"/>
        <w:ind w:firstLine="709"/>
        <w:jc w:val="both"/>
        <w:rPr>
          <w:rFonts w:ascii="Times New Roman" w:hAnsi="Times New Roman" w:eastAsia="Times New Roman"/>
          <w:sz w:val="28"/>
          <w:szCs w:val="28"/>
          <w:lang w:val="en-US" w:eastAsia="ru-RU"/>
        </w:rPr>
      </w:pPr>
      <w:r w:rsidRPr="005A6457">
        <w:rPr>
          <w:rFonts w:ascii="Times New Roman" w:hAnsi="Times New Roman" w:eastAsia="Times New Roman"/>
          <w:sz w:val="28"/>
          <w:szCs w:val="28"/>
          <w:lang w:val="en-US" w:eastAsia="ru-RU"/>
        </w:rPr>
        <w:t>NPO Petrovax Pharm, LLC</w:t>
      </w:r>
    </w:p>
    <w:p xmlns:wp14="http://schemas.microsoft.com/office/word/2010/wordml" w:rsidRPr="005A6457" w:rsidR="006866D2" w:rsidP="00C12177" w:rsidRDefault="005A6457" w14:paraId="518A6567" wp14:textId="77777777">
      <w:pPr>
        <w:spacing w:after="0" w:line="255" w:lineRule="atLeast"/>
        <w:ind w:firstLine="709"/>
        <w:jc w:val="both"/>
        <w:rPr>
          <w:rFonts w:ascii="Times New Roman" w:hAnsi="Times New Roman" w:eastAsia="Times New Roman"/>
          <w:sz w:val="28"/>
          <w:szCs w:val="28"/>
          <w:lang w:val="en-US" w:eastAsia="ru-RU"/>
        </w:rPr>
      </w:pPr>
      <w:r w:rsidRPr="005A6457">
        <w:rPr>
          <w:rFonts w:ascii="Fira Sans" w:hAnsi="Fira Sans" w:cs="Arial"/>
          <w:color w:val="000000"/>
          <w:sz w:val="28"/>
          <w:szCs w:val="28"/>
          <w:lang w:val="en-US"/>
        </w:rPr>
        <w:t xml:space="preserve">123112, Moscow, </w:t>
      </w:r>
      <w:proofErr w:type="spellStart"/>
      <w:r w:rsidRPr="005A6457">
        <w:rPr>
          <w:rFonts w:ascii="Fira Sans" w:hAnsi="Fira Sans" w:cs="Arial"/>
          <w:color w:val="000000"/>
          <w:sz w:val="28"/>
          <w:szCs w:val="28"/>
          <w:lang w:val="en-US"/>
        </w:rPr>
        <w:t>Presnenskaya</w:t>
      </w:r>
      <w:proofErr w:type="spellEnd"/>
      <w:r w:rsidRPr="005A6457">
        <w:rPr>
          <w:rFonts w:ascii="Fira Sans" w:hAnsi="Fira Sans" w:cs="Arial"/>
          <w:color w:val="000000"/>
          <w:sz w:val="28"/>
          <w:szCs w:val="28"/>
          <w:lang w:val="en-US"/>
        </w:rPr>
        <w:t xml:space="preserve"> embankment, 12, Federation Tower (East), floor 38</w:t>
      </w:r>
    </w:p>
    <w:p xmlns:wp14="http://schemas.microsoft.com/office/word/2010/wordml" w:rsidRPr="005A6457" w:rsidR="00C12177" w:rsidP="00224809" w:rsidRDefault="005A6457" w14:paraId="00399766" wp14:textId="77777777">
      <w:pPr>
        <w:spacing w:after="0" w:line="255" w:lineRule="atLeast"/>
        <w:ind w:firstLine="709"/>
        <w:jc w:val="both"/>
        <w:rPr>
          <w:rFonts w:ascii="Times New Roman" w:hAnsi="Times New Roman" w:eastAsia="Times New Roman"/>
          <w:sz w:val="28"/>
          <w:szCs w:val="28"/>
          <w:lang w:val="en-US" w:eastAsia="ru-RU"/>
        </w:rPr>
      </w:pPr>
      <w:r w:rsidRPr="005A6457"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Phone: +7 (495) 730-75-45 e-mail: </w:t>
      </w:r>
      <w:hyperlink w:history="1" r:id="rId7">
        <w:r w:rsidRPr="005A6457" w:rsidR="00224809">
          <w:rPr>
            <w:rStyle w:val="a4"/>
            <w:rFonts w:ascii="Times New Roman" w:hAnsi="Times New Roman" w:eastAsia="Times New Roman"/>
            <w:sz w:val="28"/>
            <w:szCs w:val="28"/>
            <w:lang w:val="en-US" w:eastAsia="ru-RU"/>
          </w:rPr>
          <w:t>info@petrovax.ru</w:t>
        </w:r>
      </w:hyperlink>
      <w:r w:rsidRPr="005A6457">
        <w:rPr>
          <w:rFonts w:ascii="Times New Roman" w:hAnsi="Times New Roman" w:eastAsia="Times New Roman"/>
          <w:sz w:val="28"/>
          <w:szCs w:val="28"/>
          <w:lang w:val="en-US" w:eastAsia="ru-RU"/>
        </w:rPr>
        <w:t>, www.petrovax.ru</w:t>
      </w:r>
    </w:p>
    <w:sectPr w:rsidRPr="005A6457" w:rsidR="00C12177" w:rsidSect="000B0CF4">
      <w:pgSz w:w="11906" w:h="16838" w:orient="portrait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ira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FD6"/>
    <w:multiLevelType w:val="hybridMultilevel"/>
    <w:tmpl w:val="C6AC5B4C"/>
    <w:lvl w:ilvl="0" w:tplc="B590E8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CA89CC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C398453E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8C637A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9CE6E2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5249144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8C0772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209642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D694855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D326B57"/>
    <w:multiLevelType w:val="hybridMultilevel"/>
    <w:tmpl w:val="7FC04532"/>
    <w:lvl w:ilvl="0" w:tplc="8AB0F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8216EF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17C64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6966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B9C39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987E8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61DA4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9761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E0548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B163482"/>
    <w:multiLevelType w:val="hybridMultilevel"/>
    <w:tmpl w:val="2174C240"/>
    <w:lvl w:ilvl="0" w:tplc="B06E1A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06649A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8A8EC4E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18712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72DEA0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22AE8B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40F12A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7CB4C8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EAEACD0A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074133C"/>
    <w:multiLevelType w:val="multilevel"/>
    <w:tmpl w:val="1306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F6"/>
    <w:rsid w:val="000004B4"/>
    <w:rsid w:val="00023D7F"/>
    <w:rsid w:val="00056A6F"/>
    <w:rsid w:val="000866CC"/>
    <w:rsid w:val="000928C7"/>
    <w:rsid w:val="000B0CF4"/>
    <w:rsid w:val="000B2D9D"/>
    <w:rsid w:val="000B5D32"/>
    <w:rsid w:val="000C0049"/>
    <w:rsid w:val="00103A51"/>
    <w:rsid w:val="00111372"/>
    <w:rsid w:val="0011609D"/>
    <w:rsid w:val="00126588"/>
    <w:rsid w:val="00126E62"/>
    <w:rsid w:val="00130244"/>
    <w:rsid w:val="00134499"/>
    <w:rsid w:val="001416DF"/>
    <w:rsid w:val="001476FC"/>
    <w:rsid w:val="001614A0"/>
    <w:rsid w:val="00174366"/>
    <w:rsid w:val="001847FC"/>
    <w:rsid w:val="001D3FB2"/>
    <w:rsid w:val="001F5601"/>
    <w:rsid w:val="0020467E"/>
    <w:rsid w:val="00220D89"/>
    <w:rsid w:val="00224809"/>
    <w:rsid w:val="00250BBE"/>
    <w:rsid w:val="002646E3"/>
    <w:rsid w:val="00271FF6"/>
    <w:rsid w:val="00280057"/>
    <w:rsid w:val="00281B80"/>
    <w:rsid w:val="002A3188"/>
    <w:rsid w:val="002A5380"/>
    <w:rsid w:val="002C2814"/>
    <w:rsid w:val="002E0411"/>
    <w:rsid w:val="00302DB4"/>
    <w:rsid w:val="0031123C"/>
    <w:rsid w:val="00320D9E"/>
    <w:rsid w:val="003625A0"/>
    <w:rsid w:val="003633C1"/>
    <w:rsid w:val="00392614"/>
    <w:rsid w:val="003B2A46"/>
    <w:rsid w:val="003F56BE"/>
    <w:rsid w:val="00421016"/>
    <w:rsid w:val="004242E4"/>
    <w:rsid w:val="0043659E"/>
    <w:rsid w:val="00464A5E"/>
    <w:rsid w:val="0048196C"/>
    <w:rsid w:val="004827F3"/>
    <w:rsid w:val="00485BE7"/>
    <w:rsid w:val="004A77B8"/>
    <w:rsid w:val="004E74F8"/>
    <w:rsid w:val="00510250"/>
    <w:rsid w:val="00540D0F"/>
    <w:rsid w:val="00545A01"/>
    <w:rsid w:val="0055050A"/>
    <w:rsid w:val="005A5B78"/>
    <w:rsid w:val="005A6457"/>
    <w:rsid w:val="005D4642"/>
    <w:rsid w:val="005F4FC2"/>
    <w:rsid w:val="00601111"/>
    <w:rsid w:val="00607C76"/>
    <w:rsid w:val="00632B93"/>
    <w:rsid w:val="00661651"/>
    <w:rsid w:val="00671BBC"/>
    <w:rsid w:val="006866D2"/>
    <w:rsid w:val="006B02C0"/>
    <w:rsid w:val="006B5D6A"/>
    <w:rsid w:val="0070453E"/>
    <w:rsid w:val="00721FBA"/>
    <w:rsid w:val="00724255"/>
    <w:rsid w:val="0072646F"/>
    <w:rsid w:val="00781534"/>
    <w:rsid w:val="007B1BB6"/>
    <w:rsid w:val="007F2770"/>
    <w:rsid w:val="008022CA"/>
    <w:rsid w:val="008500E3"/>
    <w:rsid w:val="00860B8C"/>
    <w:rsid w:val="0087353A"/>
    <w:rsid w:val="00885820"/>
    <w:rsid w:val="008B6491"/>
    <w:rsid w:val="008D1FA3"/>
    <w:rsid w:val="008F5007"/>
    <w:rsid w:val="00904629"/>
    <w:rsid w:val="00907435"/>
    <w:rsid w:val="0093382D"/>
    <w:rsid w:val="00943A5C"/>
    <w:rsid w:val="0097029C"/>
    <w:rsid w:val="0098092B"/>
    <w:rsid w:val="00982D8F"/>
    <w:rsid w:val="009870F9"/>
    <w:rsid w:val="00995ABB"/>
    <w:rsid w:val="009A6B5C"/>
    <w:rsid w:val="009B0A58"/>
    <w:rsid w:val="009B241B"/>
    <w:rsid w:val="009B24D8"/>
    <w:rsid w:val="009B3EB7"/>
    <w:rsid w:val="009B4A03"/>
    <w:rsid w:val="009F262D"/>
    <w:rsid w:val="00A01DD6"/>
    <w:rsid w:val="00A03076"/>
    <w:rsid w:val="00A324C1"/>
    <w:rsid w:val="00A42A05"/>
    <w:rsid w:val="00A5297D"/>
    <w:rsid w:val="00A628D9"/>
    <w:rsid w:val="00A656FB"/>
    <w:rsid w:val="00AB40E9"/>
    <w:rsid w:val="00AC738B"/>
    <w:rsid w:val="00AE1FEB"/>
    <w:rsid w:val="00B1068B"/>
    <w:rsid w:val="00B10F67"/>
    <w:rsid w:val="00B224E7"/>
    <w:rsid w:val="00B25DF9"/>
    <w:rsid w:val="00B35DE3"/>
    <w:rsid w:val="00B464C7"/>
    <w:rsid w:val="00B47334"/>
    <w:rsid w:val="00B75612"/>
    <w:rsid w:val="00BB2345"/>
    <w:rsid w:val="00BB673B"/>
    <w:rsid w:val="00BD14FC"/>
    <w:rsid w:val="00BF0E7B"/>
    <w:rsid w:val="00C05FEA"/>
    <w:rsid w:val="00C12177"/>
    <w:rsid w:val="00C25414"/>
    <w:rsid w:val="00C341FB"/>
    <w:rsid w:val="00C77B1E"/>
    <w:rsid w:val="00CB140D"/>
    <w:rsid w:val="00CE7017"/>
    <w:rsid w:val="00CE7F6D"/>
    <w:rsid w:val="00CF246C"/>
    <w:rsid w:val="00D42F89"/>
    <w:rsid w:val="00D53220"/>
    <w:rsid w:val="00D61F78"/>
    <w:rsid w:val="00DD15B8"/>
    <w:rsid w:val="00E01B69"/>
    <w:rsid w:val="00E0496B"/>
    <w:rsid w:val="00E1218F"/>
    <w:rsid w:val="00E63D10"/>
    <w:rsid w:val="00E6630B"/>
    <w:rsid w:val="00E6740A"/>
    <w:rsid w:val="00E95868"/>
    <w:rsid w:val="00EA52DC"/>
    <w:rsid w:val="00EA59A6"/>
    <w:rsid w:val="00EA6E9F"/>
    <w:rsid w:val="00ED3303"/>
    <w:rsid w:val="00F01139"/>
    <w:rsid w:val="00F0607F"/>
    <w:rsid w:val="00F068B6"/>
    <w:rsid w:val="00F10B6B"/>
    <w:rsid w:val="00F24A3F"/>
    <w:rsid w:val="00F331D1"/>
    <w:rsid w:val="00F62A15"/>
    <w:rsid w:val="1D4B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6D0B0"/>
  <w15:docId w15:val="{66FAD741-0D01-4E08-8BD1-DB2AC540EB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421016"/>
    <w:pPr>
      <w:spacing w:after="200" w:line="276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71FF6"/>
    <w:pPr>
      <w:spacing w:before="120" w:after="120" w:line="240" w:lineRule="auto"/>
      <w:ind w:left="120" w:right="120"/>
    </w:pPr>
    <w:rPr>
      <w:rFonts w:ascii="Verdana" w:hAnsi="Verdana" w:eastAsia="Times New Roman"/>
      <w:sz w:val="14"/>
      <w:szCs w:val="14"/>
      <w:lang w:eastAsia="ru-RU"/>
    </w:rPr>
  </w:style>
  <w:style w:type="character" w:styleId="hps" w:customStyle="1">
    <w:name w:val="hps"/>
    <w:uiPriority w:val="99"/>
    <w:rsid w:val="0097029C"/>
    <w:rPr>
      <w:rFonts w:cs="Times New Roman"/>
    </w:rPr>
  </w:style>
  <w:style w:type="character" w:styleId="shorttext" w:customStyle="1">
    <w:name w:val="short_text"/>
    <w:uiPriority w:val="99"/>
    <w:rsid w:val="00995ABB"/>
    <w:rPr>
      <w:rFonts w:cs="Times New Roman"/>
    </w:rPr>
  </w:style>
  <w:style w:type="character" w:styleId="a4">
    <w:name w:val="Hyperlink"/>
    <w:uiPriority w:val="99"/>
    <w:rsid w:val="002A3188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locked/>
    <w:rsid w:val="00A5297D"/>
    <w:rPr>
      <w:rFonts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6">
    <w:name w:val="List Paragraph"/>
    <w:basedOn w:val="a"/>
    <w:uiPriority w:val="34"/>
    <w:qFormat/>
    <w:rsid w:val="00F331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4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/>
    <w:rsid w:val="00E049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mailto:info@petrovax.ru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9568-089E-4E77-8629-651208C5FF9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-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О компании НПО «Петровакс Фарм»: Препараты будущего – сегодня</dc:title>
  <dc:creator>emtsovaAP</dc:creator>
  <lastModifiedBy>Александр Сергеев</lastModifiedBy>
  <revision>3</revision>
  <lastPrinted>2019-11-22T13:04:00.0000000Z</lastPrinted>
  <dcterms:created xsi:type="dcterms:W3CDTF">2021-02-03T13:51:00.0000000Z</dcterms:created>
  <dcterms:modified xsi:type="dcterms:W3CDTF">2021-08-17T12:51:50.4814050Z</dcterms:modified>
</coreProperties>
</file>